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0528" w14:textId="05EF9CA9"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120DAF" w:rsidRPr="00120DAF">
        <w:rPr>
          <w:rFonts w:cs="Arial"/>
          <w:sz w:val="22"/>
          <w:szCs w:val="22"/>
        </w:rPr>
        <w:t>S3-252212</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5737E4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460FB" w:rsidR="001E41F3" w:rsidRPr="00410371" w:rsidRDefault="00000000" w:rsidP="00E13F3D">
            <w:pPr>
              <w:pStyle w:val="CRCoverPage"/>
              <w:spacing w:after="0"/>
              <w:jc w:val="right"/>
              <w:rPr>
                <w:b/>
                <w:noProof/>
                <w:sz w:val="28"/>
              </w:rPr>
            </w:pPr>
            <w:fldSimple w:instr=" DOCPROPERTY  Spec#  \* MERGEFORMAT ">
              <w:r w:rsidR="00A91AB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ADA0D" w:rsidR="001E41F3" w:rsidRPr="00410371" w:rsidRDefault="00000000" w:rsidP="00547111">
            <w:pPr>
              <w:pStyle w:val="CRCoverPage"/>
              <w:spacing w:after="0"/>
              <w:rPr>
                <w:noProof/>
              </w:rPr>
            </w:pPr>
            <w:fldSimple w:instr=" DOCPROPERTY  Cr#  \* MERGEFORMAT ">
              <w:r w:rsidR="00B03021">
                <w:rPr>
                  <w:b/>
                  <w:noProof/>
                  <w:sz w:val="28"/>
                </w:rPr>
                <w:t>2148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D1BE8" w:rsidR="001E41F3" w:rsidRPr="00410371" w:rsidRDefault="00000000" w:rsidP="00E13F3D">
            <w:pPr>
              <w:pStyle w:val="CRCoverPage"/>
              <w:spacing w:after="0"/>
              <w:jc w:val="center"/>
              <w:rPr>
                <w:b/>
                <w:noProof/>
              </w:rPr>
            </w:pPr>
            <w:fldSimple w:instr=" DOCPROPERTY  Revision  \* MERGEFORMAT ">
              <w:r w:rsidR="00EE18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15ECB" w:rsidR="001E41F3" w:rsidRPr="00410371" w:rsidRDefault="00000000">
            <w:pPr>
              <w:pStyle w:val="CRCoverPage"/>
              <w:spacing w:after="0"/>
              <w:jc w:val="center"/>
              <w:rPr>
                <w:noProof/>
                <w:sz w:val="28"/>
              </w:rPr>
            </w:pPr>
            <w:fldSimple w:instr=" DOCPROPERTY  Version  \* MERGEFORMAT ">
              <w:r w:rsidR="00EE18E7">
                <w:rPr>
                  <w:b/>
                  <w:noProof/>
                  <w:sz w:val="28"/>
                </w:rPr>
                <w:t>1</w:t>
              </w:r>
              <w:r w:rsidR="00472A5F">
                <w:rPr>
                  <w:b/>
                  <w:noProof/>
                  <w:sz w:val="28"/>
                </w:rPr>
                <w:t>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FB769" w:rsidR="00F25D98" w:rsidRDefault="00A91E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55408" w:rsidR="001E41F3" w:rsidRDefault="00000000" w:rsidP="0035321C">
            <w:pPr>
              <w:pStyle w:val="CRCoverPage"/>
              <w:spacing w:after="0"/>
              <w:ind w:left="100"/>
            </w:pPr>
            <w:fldSimple w:instr=" DOCPROPERTY  CrTitle  \* MERGEFORMAT ">
              <w:r w:rsidR="0035321C">
                <w:t>Clarification of the intended applicabil</w:t>
              </w:r>
              <w:ins w:id="1" w:author="Author">
                <w:r w:rsidR="00AA603B">
                  <w:t>i</w:t>
                </w:r>
              </w:ins>
              <w:r w:rsidR="0035321C">
                <w:t>ty and requirements for Annex V</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0F457" w:rsidR="001E41F3" w:rsidRDefault="00B5466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80521" w:rsidR="001E41F3" w:rsidRDefault="00000000">
            <w:pPr>
              <w:pStyle w:val="CRCoverPage"/>
              <w:spacing w:after="0"/>
              <w:ind w:left="100"/>
              <w:rPr>
                <w:noProof/>
              </w:rPr>
            </w:pPr>
            <w:fldSimple w:instr=" DOCPROPERTY  RelatedWis  \* MERGEFORMAT ">
              <w:r w:rsidR="00B5466A">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0A53D" w:rsidR="001E41F3" w:rsidRDefault="004D5235">
            <w:pPr>
              <w:pStyle w:val="CRCoverPage"/>
              <w:spacing w:after="0"/>
              <w:ind w:left="100"/>
              <w:rPr>
                <w:noProof/>
              </w:rPr>
            </w:pPr>
            <w:r>
              <w:t>202</w:t>
            </w:r>
            <w:r w:rsidR="0044069F">
              <w:t>5</w:t>
            </w:r>
            <w:r>
              <w:t>-</w:t>
            </w:r>
            <w:r w:rsidR="00B02EFE">
              <w:t>05-</w:t>
            </w:r>
            <w:r w:rsidR="006958F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4DC94" w:rsidR="001E41F3" w:rsidRDefault="00000000" w:rsidP="00B02EFE">
            <w:pPr>
              <w:pStyle w:val="CRCoverPage"/>
              <w:spacing w:after="0"/>
              <w:ind w:right="-609"/>
              <w:rPr>
                <w:b/>
                <w:noProof/>
              </w:rPr>
            </w:pPr>
            <w:fldSimple w:instr=" DOCPROPERTY  Cat  \* MERGEFORMAT ">
              <w:r w:rsidR="00B02EF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F350E" w:rsidR="001E41F3" w:rsidRDefault="004D5235">
            <w:pPr>
              <w:pStyle w:val="CRCoverPage"/>
              <w:spacing w:after="0"/>
              <w:ind w:left="100"/>
              <w:rPr>
                <w:noProof/>
              </w:rPr>
            </w:pPr>
            <w:commentRangeStart w:id="2"/>
            <w:r>
              <w:t>Rel-</w:t>
            </w:r>
            <w:r w:rsidR="00CE7DF1">
              <w:t>19</w:t>
            </w:r>
            <w:commentRangeEnd w:id="2"/>
            <w:r w:rsidR="00D045A0">
              <w:rPr>
                <w:rStyle w:val="CommentReference"/>
                <w:rFonts w:ascii="Times New Roman" w:hAnsi="Times New Roman"/>
              </w:rPr>
              <w:commentReference w:id="2"/>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C0F2A" w14:textId="77777777" w:rsidR="00D0159C" w:rsidRDefault="00D0159C" w:rsidP="00D0159C">
            <w:pPr>
              <w:pStyle w:val="CRCoverPage"/>
              <w:spacing w:after="0"/>
              <w:ind w:left="100"/>
              <w:rPr>
                <w:noProof/>
              </w:rPr>
            </w:pPr>
            <w:r>
              <w:rPr>
                <w:noProof/>
              </w:rPr>
              <w:t>SA3 has answered several LS (e.g. S3-211338, S3-234267, S3-242374, S3-245363, S3-244306) on the intended usage of the user consent framework stating that:</w:t>
            </w:r>
          </w:p>
          <w:p w14:paraId="60EEAFC6" w14:textId="77777777" w:rsidR="00D0159C" w:rsidRDefault="00D0159C" w:rsidP="00D0159C">
            <w:pPr>
              <w:pStyle w:val="CRCoverPage"/>
              <w:numPr>
                <w:ilvl w:val="0"/>
                <w:numId w:val="5"/>
              </w:numPr>
              <w:spacing w:after="0"/>
              <w:rPr>
                <w:noProof/>
              </w:rPr>
            </w:pPr>
            <w:r>
              <w:rPr>
                <w:noProof/>
              </w:rPr>
              <w:t>“3GPP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(S3-245363)</w:t>
            </w:r>
          </w:p>
          <w:p w14:paraId="3FDA1FE3" w14:textId="77777777" w:rsidR="00D0159C" w:rsidRDefault="00D0159C" w:rsidP="00D0159C">
            <w:pPr>
              <w:pStyle w:val="CRCoverPage"/>
              <w:numPr>
                <w:ilvl w:val="0"/>
                <w:numId w:val="5"/>
              </w:numPr>
              <w:spacing w:after="0"/>
              <w:rPr>
                <w:noProof/>
              </w:rPr>
            </w:pPr>
            <w:r>
              <w:rPr>
                <w:noProof/>
              </w:rPr>
              <w:t>The user consent framework as defined in TS 33.501 relates to user consent attributes to be used within the 5G system.</w:t>
            </w:r>
          </w:p>
          <w:p w14:paraId="2E0622F4" w14:textId="77777777" w:rsidR="00D0159C" w:rsidRDefault="00D0159C" w:rsidP="00D0159C">
            <w:pPr>
              <w:pStyle w:val="CRCoverPage"/>
              <w:numPr>
                <w:ilvl w:val="0"/>
                <w:numId w:val="5"/>
              </w:numPr>
              <w:spacing w:after="0"/>
              <w:rPr>
                <w:noProof/>
              </w:rPr>
            </w:pPr>
            <w:r>
              <w:rPr>
                <w:noProof/>
              </w:rPr>
              <w:t>It is suggested that the personal data and processes governed by user consent shall be configured by OAM (S3-211338, S3-234267).</w:t>
            </w:r>
          </w:p>
          <w:p w14:paraId="3C77BC2A" w14:textId="77777777" w:rsidR="00D0159C" w:rsidRDefault="00D0159C" w:rsidP="00D0159C">
            <w:pPr>
              <w:pStyle w:val="CRCoverPage"/>
              <w:spacing w:after="0"/>
              <w:ind w:left="820"/>
              <w:rPr>
                <w:noProof/>
              </w:rPr>
            </w:pPr>
          </w:p>
          <w:p w14:paraId="587A62B6" w14:textId="77777777" w:rsidR="00D0159C" w:rsidRDefault="00D0159C" w:rsidP="00D0159C">
            <w:pPr>
              <w:pStyle w:val="CRCoverPage"/>
              <w:spacing w:after="0"/>
              <w:rPr>
                <w:noProof/>
              </w:rPr>
            </w:pPr>
            <w:r>
              <w:rPr>
                <w:noProof/>
              </w:rPr>
              <w:t xml:space="preserve">Data exposure from 5G core to external parties/entities/AF should be declared to be outside the scope of applicability of Annex V. The reasons are: </w:t>
            </w:r>
          </w:p>
          <w:p w14:paraId="6A29B695" w14:textId="77777777" w:rsidR="00D0159C" w:rsidRDefault="00D0159C" w:rsidP="00D0159C">
            <w:pPr>
              <w:pStyle w:val="CRCoverPage"/>
              <w:numPr>
                <w:ilvl w:val="0"/>
                <w:numId w:val="6"/>
              </w:numPr>
              <w:spacing w:after="0"/>
              <w:rPr>
                <w:noProof/>
              </w:rPr>
            </w:pPr>
            <w:r>
              <w:rPr>
                <w:noProof/>
              </w:rPr>
              <w:t xml:space="preserve">the regulatory implications of exposing personal data between data controllers were not studied at the time of specifying Annex V.  </w:t>
            </w:r>
          </w:p>
          <w:p w14:paraId="708AA7DE" w14:textId="5D4E637E" w:rsidR="001E41F3" w:rsidRDefault="00D0159C" w:rsidP="00D0159C">
            <w:pPr>
              <w:pStyle w:val="CRCoverPage"/>
              <w:spacing w:after="0"/>
              <w:ind w:left="100"/>
              <w:rPr>
                <w:noProof/>
              </w:rPr>
            </w:pPr>
            <w:r>
              <w:rPr>
                <w:noProof/>
              </w:rPr>
              <w:t>The consent mechanism acquired a static nature, contrary to legal requirements for consent. There is no understanding of how a subscriber/user can (dynamically) authorize (or decline) personal data exposure to parties/entities/AFs outside the 5G 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668AB" w14:paraId="21016551" w14:textId="77777777" w:rsidTr="00547111">
        <w:tc>
          <w:tcPr>
            <w:tcW w:w="2694" w:type="dxa"/>
            <w:gridSpan w:val="2"/>
            <w:tcBorders>
              <w:left w:val="single" w:sz="4" w:space="0" w:color="auto"/>
            </w:tcBorders>
          </w:tcPr>
          <w:p w14:paraId="49433147" w14:textId="77777777" w:rsidR="002668AB" w:rsidRDefault="002668AB" w:rsidP="002668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BFDE3" w14:textId="77777777" w:rsidR="002668AB" w:rsidRDefault="002668AB" w:rsidP="002668AB">
            <w:pPr>
              <w:pStyle w:val="CRCoverPage"/>
              <w:spacing w:after="0"/>
              <w:rPr>
                <w:noProof/>
              </w:rPr>
            </w:pPr>
            <w:r>
              <w:rPr>
                <w:noProof/>
              </w:rPr>
              <w:t xml:space="preserve">The suggested changes provide clarification of the intended applicability of the Annex V user consent framework in TS33.501. It is suggested to further clarify that: </w:t>
            </w:r>
          </w:p>
          <w:p w14:paraId="2D67CC1A" w14:textId="77777777" w:rsidR="002668AB" w:rsidRDefault="002668AB" w:rsidP="002668AB">
            <w:pPr>
              <w:pStyle w:val="CRCoverPage"/>
              <w:numPr>
                <w:ilvl w:val="0"/>
                <w:numId w:val="7"/>
              </w:numPr>
              <w:spacing w:after="0"/>
              <w:rPr>
                <w:noProof/>
              </w:rPr>
            </w:pPr>
            <w:r>
              <w:rPr>
                <w:noProof/>
              </w:rPr>
              <w:t xml:space="preserve">Annex V is subscriber-based consent given to the operator so that the 5G core/RAN can be provisioned/configured based on the operator-subscriber agreed permissions. These permissions are stored in UDM and enable operators 5G System to comply with </w:t>
            </w:r>
            <w:r>
              <w:rPr>
                <w:noProof/>
              </w:rPr>
              <w:lastRenderedPageBreak/>
              <w:t>local laws and regulations. User Consent according to Annex V is considered for use within 5G Core/RAN system. It is proposed that user consent according to Annex V shall be configured by OAM (S3-211338, S3-234267).</w:t>
            </w:r>
          </w:p>
          <w:p w14:paraId="020DC4BC" w14:textId="77777777" w:rsidR="002668AB" w:rsidRDefault="002668AB" w:rsidP="002668AB">
            <w:pPr>
              <w:pStyle w:val="CRCoverPage"/>
              <w:numPr>
                <w:ilvl w:val="0"/>
                <w:numId w:val="7"/>
              </w:numPr>
              <w:spacing w:after="0"/>
              <w:rPr>
                <w:noProof/>
              </w:rPr>
            </w:pPr>
            <w:r>
              <w:rPr>
                <w:noProof/>
              </w:rPr>
              <w:t xml:space="preserve">User Consent  according to Annex V is not inteded to cater to dynamic subscriber permissions to expose her personal data to systems outside 5G Core. </w:t>
            </w:r>
          </w:p>
          <w:p w14:paraId="31C656EC" w14:textId="74DA147D" w:rsidR="002668AB" w:rsidRDefault="002668AB" w:rsidP="002668AB">
            <w:pPr>
              <w:pStyle w:val="CRCoverPage"/>
              <w:spacing w:after="0"/>
              <w:ind w:left="100"/>
              <w:rPr>
                <w:noProof/>
              </w:rPr>
            </w:pPr>
          </w:p>
        </w:tc>
      </w:tr>
      <w:tr w:rsidR="002668AB" w14:paraId="1F886379" w14:textId="77777777" w:rsidTr="00547111">
        <w:tc>
          <w:tcPr>
            <w:tcW w:w="2694" w:type="dxa"/>
            <w:gridSpan w:val="2"/>
            <w:tcBorders>
              <w:left w:val="single" w:sz="4" w:space="0" w:color="auto"/>
            </w:tcBorders>
          </w:tcPr>
          <w:p w14:paraId="4D989623" w14:textId="77777777" w:rsidR="002668AB" w:rsidRDefault="002668AB" w:rsidP="002668AB">
            <w:pPr>
              <w:pStyle w:val="CRCoverPage"/>
              <w:spacing w:after="0"/>
              <w:rPr>
                <w:b/>
                <w:i/>
                <w:noProof/>
                <w:sz w:val="8"/>
                <w:szCs w:val="8"/>
              </w:rPr>
            </w:pPr>
          </w:p>
        </w:tc>
        <w:tc>
          <w:tcPr>
            <w:tcW w:w="6946" w:type="dxa"/>
            <w:gridSpan w:val="9"/>
            <w:tcBorders>
              <w:right w:val="single" w:sz="4" w:space="0" w:color="auto"/>
            </w:tcBorders>
          </w:tcPr>
          <w:p w14:paraId="71C4A204" w14:textId="77777777" w:rsidR="002668AB" w:rsidRDefault="002668AB" w:rsidP="002668AB">
            <w:pPr>
              <w:pStyle w:val="CRCoverPage"/>
              <w:spacing w:after="0"/>
              <w:rPr>
                <w:noProof/>
                <w:sz w:val="8"/>
                <w:szCs w:val="8"/>
              </w:rPr>
            </w:pPr>
          </w:p>
        </w:tc>
      </w:tr>
      <w:tr w:rsidR="002668AB" w14:paraId="678D7BF9" w14:textId="77777777" w:rsidTr="00547111">
        <w:tc>
          <w:tcPr>
            <w:tcW w:w="2694" w:type="dxa"/>
            <w:gridSpan w:val="2"/>
            <w:tcBorders>
              <w:left w:val="single" w:sz="4" w:space="0" w:color="auto"/>
              <w:bottom w:val="single" w:sz="4" w:space="0" w:color="auto"/>
            </w:tcBorders>
          </w:tcPr>
          <w:p w14:paraId="4E5CE1B6" w14:textId="77777777" w:rsidR="002668AB" w:rsidRDefault="002668AB" w:rsidP="002668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AFEBE" w:rsidR="002668AB" w:rsidRDefault="0076220D" w:rsidP="002668AB">
            <w:pPr>
              <w:pStyle w:val="CRCoverPage"/>
              <w:spacing w:after="0"/>
              <w:ind w:left="100"/>
              <w:rPr>
                <w:noProof/>
              </w:rPr>
            </w:pPr>
            <w:r w:rsidRPr="0076220D">
              <w:rPr>
                <w:noProof/>
              </w:rPr>
              <w:t>Misunderstanding of the applicability of the user consent framework may lead to non-compliance to regulations, with possible privacy breach and inconsistency between different stages of normative work with respect to user consent.</w:t>
            </w:r>
          </w:p>
        </w:tc>
      </w:tr>
      <w:tr w:rsidR="002668AB" w14:paraId="034AF533" w14:textId="77777777" w:rsidTr="00547111">
        <w:tc>
          <w:tcPr>
            <w:tcW w:w="2694" w:type="dxa"/>
            <w:gridSpan w:val="2"/>
          </w:tcPr>
          <w:p w14:paraId="39D9EB5B" w14:textId="77777777" w:rsidR="002668AB" w:rsidRDefault="002668AB" w:rsidP="002668AB">
            <w:pPr>
              <w:pStyle w:val="CRCoverPage"/>
              <w:spacing w:after="0"/>
              <w:rPr>
                <w:b/>
                <w:i/>
                <w:noProof/>
                <w:sz w:val="8"/>
                <w:szCs w:val="8"/>
              </w:rPr>
            </w:pPr>
          </w:p>
        </w:tc>
        <w:tc>
          <w:tcPr>
            <w:tcW w:w="6946" w:type="dxa"/>
            <w:gridSpan w:val="9"/>
          </w:tcPr>
          <w:p w14:paraId="7826CB1C" w14:textId="77777777" w:rsidR="002668AB" w:rsidRDefault="002668AB" w:rsidP="002668AB">
            <w:pPr>
              <w:pStyle w:val="CRCoverPage"/>
              <w:spacing w:after="0"/>
              <w:rPr>
                <w:noProof/>
                <w:sz w:val="8"/>
                <w:szCs w:val="8"/>
              </w:rPr>
            </w:pPr>
          </w:p>
        </w:tc>
      </w:tr>
      <w:tr w:rsidR="002668AB" w14:paraId="6A17D7AC" w14:textId="77777777" w:rsidTr="00547111">
        <w:tc>
          <w:tcPr>
            <w:tcW w:w="2694" w:type="dxa"/>
            <w:gridSpan w:val="2"/>
            <w:tcBorders>
              <w:top w:val="single" w:sz="4" w:space="0" w:color="auto"/>
              <w:left w:val="single" w:sz="4" w:space="0" w:color="auto"/>
            </w:tcBorders>
          </w:tcPr>
          <w:p w14:paraId="6DAD5B19" w14:textId="77777777" w:rsidR="002668AB" w:rsidRDefault="002668AB" w:rsidP="002668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7CFFB" w:rsidR="002668AB" w:rsidRDefault="009E43A6" w:rsidP="002668AB">
            <w:pPr>
              <w:pStyle w:val="CRCoverPage"/>
              <w:spacing w:after="0"/>
              <w:ind w:left="100"/>
              <w:rPr>
                <w:noProof/>
              </w:rPr>
            </w:pPr>
            <w:r>
              <w:rPr>
                <w:noProof/>
              </w:rPr>
              <w:t xml:space="preserve">Annex </w:t>
            </w:r>
            <w:r w:rsidR="00AF0F32">
              <w:rPr>
                <w:noProof/>
              </w:rPr>
              <w:t>V.1.1</w:t>
            </w:r>
            <w:r>
              <w:rPr>
                <w:noProof/>
              </w:rPr>
              <w:t>, Annex</w:t>
            </w:r>
            <w:r w:rsidR="00AF0F32">
              <w:rPr>
                <w:noProof/>
              </w:rPr>
              <w:t xml:space="preserve"> V.2</w:t>
            </w:r>
          </w:p>
        </w:tc>
      </w:tr>
      <w:tr w:rsidR="002668AB" w14:paraId="56E1E6C3" w14:textId="77777777" w:rsidTr="00547111">
        <w:tc>
          <w:tcPr>
            <w:tcW w:w="2694" w:type="dxa"/>
            <w:gridSpan w:val="2"/>
            <w:tcBorders>
              <w:left w:val="single" w:sz="4" w:space="0" w:color="auto"/>
            </w:tcBorders>
          </w:tcPr>
          <w:p w14:paraId="2FB9DE77" w14:textId="77777777" w:rsidR="002668AB" w:rsidRDefault="002668AB" w:rsidP="002668AB">
            <w:pPr>
              <w:pStyle w:val="CRCoverPage"/>
              <w:spacing w:after="0"/>
              <w:rPr>
                <w:b/>
                <w:i/>
                <w:noProof/>
                <w:sz w:val="8"/>
                <w:szCs w:val="8"/>
              </w:rPr>
            </w:pPr>
          </w:p>
        </w:tc>
        <w:tc>
          <w:tcPr>
            <w:tcW w:w="6946" w:type="dxa"/>
            <w:gridSpan w:val="9"/>
            <w:tcBorders>
              <w:right w:val="single" w:sz="4" w:space="0" w:color="auto"/>
            </w:tcBorders>
          </w:tcPr>
          <w:p w14:paraId="0898542D" w14:textId="77777777" w:rsidR="002668AB" w:rsidRDefault="002668AB" w:rsidP="002668AB">
            <w:pPr>
              <w:pStyle w:val="CRCoverPage"/>
              <w:spacing w:after="0"/>
              <w:rPr>
                <w:noProof/>
                <w:sz w:val="8"/>
                <w:szCs w:val="8"/>
              </w:rPr>
            </w:pPr>
          </w:p>
        </w:tc>
      </w:tr>
      <w:tr w:rsidR="002668AB" w14:paraId="76F95A8B" w14:textId="77777777" w:rsidTr="00547111">
        <w:tc>
          <w:tcPr>
            <w:tcW w:w="2694" w:type="dxa"/>
            <w:gridSpan w:val="2"/>
            <w:tcBorders>
              <w:left w:val="single" w:sz="4" w:space="0" w:color="auto"/>
            </w:tcBorders>
          </w:tcPr>
          <w:p w14:paraId="335EAB52" w14:textId="77777777" w:rsidR="002668AB" w:rsidRDefault="002668AB" w:rsidP="002668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668AB" w:rsidRDefault="002668AB" w:rsidP="002668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68AB" w:rsidRDefault="002668AB" w:rsidP="002668AB">
            <w:pPr>
              <w:pStyle w:val="CRCoverPage"/>
              <w:spacing w:after="0"/>
              <w:jc w:val="center"/>
              <w:rPr>
                <w:b/>
                <w:caps/>
                <w:noProof/>
              </w:rPr>
            </w:pPr>
            <w:r>
              <w:rPr>
                <w:b/>
                <w:caps/>
                <w:noProof/>
              </w:rPr>
              <w:t>N</w:t>
            </w:r>
          </w:p>
        </w:tc>
        <w:tc>
          <w:tcPr>
            <w:tcW w:w="2977" w:type="dxa"/>
            <w:gridSpan w:val="4"/>
          </w:tcPr>
          <w:p w14:paraId="304CCBCB" w14:textId="77777777" w:rsidR="002668AB" w:rsidRDefault="002668AB" w:rsidP="002668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68AB" w:rsidRDefault="002668AB" w:rsidP="002668AB">
            <w:pPr>
              <w:pStyle w:val="CRCoverPage"/>
              <w:spacing w:after="0"/>
              <w:ind w:left="99"/>
              <w:rPr>
                <w:noProof/>
              </w:rPr>
            </w:pPr>
          </w:p>
        </w:tc>
      </w:tr>
      <w:tr w:rsidR="002668AB" w14:paraId="34ACE2EB" w14:textId="77777777" w:rsidTr="00547111">
        <w:tc>
          <w:tcPr>
            <w:tcW w:w="2694" w:type="dxa"/>
            <w:gridSpan w:val="2"/>
            <w:tcBorders>
              <w:left w:val="single" w:sz="4" w:space="0" w:color="auto"/>
            </w:tcBorders>
          </w:tcPr>
          <w:p w14:paraId="571382F3" w14:textId="77777777" w:rsidR="002668AB" w:rsidRDefault="002668AB" w:rsidP="002668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68AB" w:rsidRDefault="002668AB" w:rsidP="00266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2668AB" w:rsidRDefault="002668AB" w:rsidP="002668AB">
            <w:pPr>
              <w:pStyle w:val="CRCoverPage"/>
              <w:spacing w:after="0"/>
              <w:jc w:val="center"/>
              <w:rPr>
                <w:b/>
                <w:caps/>
                <w:noProof/>
              </w:rPr>
            </w:pPr>
            <w:r>
              <w:rPr>
                <w:b/>
                <w:caps/>
                <w:noProof/>
              </w:rPr>
              <w:t>x</w:t>
            </w:r>
          </w:p>
        </w:tc>
        <w:tc>
          <w:tcPr>
            <w:tcW w:w="2977" w:type="dxa"/>
            <w:gridSpan w:val="4"/>
          </w:tcPr>
          <w:p w14:paraId="7DB274D8" w14:textId="77777777" w:rsidR="002668AB" w:rsidRDefault="002668AB" w:rsidP="002668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668AB" w:rsidRDefault="002668AB" w:rsidP="002668AB">
            <w:pPr>
              <w:pStyle w:val="CRCoverPage"/>
              <w:spacing w:after="0"/>
              <w:ind w:left="99"/>
              <w:rPr>
                <w:noProof/>
              </w:rPr>
            </w:pPr>
            <w:r>
              <w:rPr>
                <w:noProof/>
              </w:rPr>
              <w:t xml:space="preserve">TS/TR ... CR ... </w:t>
            </w:r>
          </w:p>
        </w:tc>
      </w:tr>
      <w:tr w:rsidR="002668AB" w14:paraId="446DDBAC" w14:textId="77777777" w:rsidTr="00547111">
        <w:tc>
          <w:tcPr>
            <w:tcW w:w="2694" w:type="dxa"/>
            <w:gridSpan w:val="2"/>
            <w:tcBorders>
              <w:left w:val="single" w:sz="4" w:space="0" w:color="auto"/>
            </w:tcBorders>
          </w:tcPr>
          <w:p w14:paraId="678A1AA6" w14:textId="77777777" w:rsidR="002668AB" w:rsidRDefault="002668AB" w:rsidP="002668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68AB" w:rsidRDefault="002668AB" w:rsidP="00266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2668AB" w:rsidRDefault="002668AB" w:rsidP="002668AB">
            <w:pPr>
              <w:pStyle w:val="CRCoverPage"/>
              <w:spacing w:after="0"/>
              <w:jc w:val="center"/>
              <w:rPr>
                <w:b/>
                <w:caps/>
                <w:noProof/>
              </w:rPr>
            </w:pPr>
            <w:r>
              <w:rPr>
                <w:b/>
                <w:caps/>
                <w:noProof/>
              </w:rPr>
              <w:t>x</w:t>
            </w:r>
          </w:p>
        </w:tc>
        <w:tc>
          <w:tcPr>
            <w:tcW w:w="2977" w:type="dxa"/>
            <w:gridSpan w:val="4"/>
          </w:tcPr>
          <w:p w14:paraId="1A4306D9" w14:textId="77777777" w:rsidR="002668AB" w:rsidRDefault="002668AB" w:rsidP="002668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668AB" w:rsidRDefault="002668AB" w:rsidP="002668AB">
            <w:pPr>
              <w:pStyle w:val="CRCoverPage"/>
              <w:spacing w:after="0"/>
              <w:ind w:left="99"/>
              <w:rPr>
                <w:noProof/>
              </w:rPr>
            </w:pPr>
            <w:r>
              <w:rPr>
                <w:noProof/>
              </w:rPr>
              <w:t xml:space="preserve">TS/TR ... CR ... </w:t>
            </w:r>
          </w:p>
        </w:tc>
      </w:tr>
      <w:tr w:rsidR="002668AB" w14:paraId="55C714D2" w14:textId="77777777" w:rsidTr="00547111">
        <w:tc>
          <w:tcPr>
            <w:tcW w:w="2694" w:type="dxa"/>
            <w:gridSpan w:val="2"/>
            <w:tcBorders>
              <w:left w:val="single" w:sz="4" w:space="0" w:color="auto"/>
            </w:tcBorders>
          </w:tcPr>
          <w:p w14:paraId="45913E62" w14:textId="77777777" w:rsidR="002668AB" w:rsidRDefault="002668AB" w:rsidP="002668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68AB" w:rsidRDefault="002668AB" w:rsidP="00266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2668AB" w:rsidRDefault="002668AB" w:rsidP="002668AB">
            <w:pPr>
              <w:pStyle w:val="CRCoverPage"/>
              <w:spacing w:after="0"/>
              <w:jc w:val="center"/>
              <w:rPr>
                <w:b/>
                <w:caps/>
                <w:noProof/>
              </w:rPr>
            </w:pPr>
            <w:r>
              <w:rPr>
                <w:b/>
                <w:caps/>
                <w:noProof/>
              </w:rPr>
              <w:t>x</w:t>
            </w:r>
          </w:p>
        </w:tc>
        <w:tc>
          <w:tcPr>
            <w:tcW w:w="2977" w:type="dxa"/>
            <w:gridSpan w:val="4"/>
          </w:tcPr>
          <w:p w14:paraId="1B4FF921" w14:textId="77777777" w:rsidR="002668AB" w:rsidRDefault="002668AB" w:rsidP="002668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668AB" w:rsidRDefault="002668AB" w:rsidP="002668AB">
            <w:pPr>
              <w:pStyle w:val="CRCoverPage"/>
              <w:spacing w:after="0"/>
              <w:ind w:left="99"/>
              <w:rPr>
                <w:noProof/>
              </w:rPr>
            </w:pPr>
            <w:r>
              <w:rPr>
                <w:noProof/>
              </w:rPr>
              <w:t xml:space="preserve">TS/TR ... CR ... </w:t>
            </w:r>
          </w:p>
        </w:tc>
      </w:tr>
      <w:tr w:rsidR="002668AB" w14:paraId="60DF82CC" w14:textId="77777777" w:rsidTr="008863B9">
        <w:tc>
          <w:tcPr>
            <w:tcW w:w="2694" w:type="dxa"/>
            <w:gridSpan w:val="2"/>
            <w:tcBorders>
              <w:left w:val="single" w:sz="4" w:space="0" w:color="auto"/>
            </w:tcBorders>
          </w:tcPr>
          <w:p w14:paraId="517696CD" w14:textId="77777777" w:rsidR="002668AB" w:rsidRDefault="002668AB" w:rsidP="002668AB">
            <w:pPr>
              <w:pStyle w:val="CRCoverPage"/>
              <w:spacing w:after="0"/>
              <w:rPr>
                <w:b/>
                <w:i/>
                <w:noProof/>
              </w:rPr>
            </w:pPr>
          </w:p>
        </w:tc>
        <w:tc>
          <w:tcPr>
            <w:tcW w:w="6946" w:type="dxa"/>
            <w:gridSpan w:val="9"/>
            <w:tcBorders>
              <w:right w:val="single" w:sz="4" w:space="0" w:color="auto"/>
            </w:tcBorders>
          </w:tcPr>
          <w:p w14:paraId="4D84207F" w14:textId="77777777" w:rsidR="002668AB" w:rsidRDefault="002668AB" w:rsidP="002668AB">
            <w:pPr>
              <w:pStyle w:val="CRCoverPage"/>
              <w:spacing w:after="0"/>
              <w:rPr>
                <w:noProof/>
              </w:rPr>
            </w:pPr>
          </w:p>
        </w:tc>
      </w:tr>
      <w:tr w:rsidR="002668AB" w14:paraId="556B87B6" w14:textId="77777777" w:rsidTr="008863B9">
        <w:tc>
          <w:tcPr>
            <w:tcW w:w="2694" w:type="dxa"/>
            <w:gridSpan w:val="2"/>
            <w:tcBorders>
              <w:left w:val="single" w:sz="4" w:space="0" w:color="auto"/>
              <w:bottom w:val="single" w:sz="4" w:space="0" w:color="auto"/>
            </w:tcBorders>
          </w:tcPr>
          <w:p w14:paraId="79A9C411" w14:textId="77777777" w:rsidR="002668AB" w:rsidRDefault="002668AB" w:rsidP="002668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668AB" w:rsidRDefault="002668AB" w:rsidP="002668AB">
            <w:pPr>
              <w:pStyle w:val="CRCoverPage"/>
              <w:spacing w:after="0"/>
              <w:ind w:left="100"/>
              <w:rPr>
                <w:noProof/>
              </w:rPr>
            </w:pPr>
          </w:p>
        </w:tc>
      </w:tr>
      <w:tr w:rsidR="002668AB" w:rsidRPr="008863B9" w14:paraId="45BFE792" w14:textId="77777777" w:rsidTr="008863B9">
        <w:tc>
          <w:tcPr>
            <w:tcW w:w="2694" w:type="dxa"/>
            <w:gridSpan w:val="2"/>
            <w:tcBorders>
              <w:top w:val="single" w:sz="4" w:space="0" w:color="auto"/>
              <w:bottom w:val="single" w:sz="4" w:space="0" w:color="auto"/>
            </w:tcBorders>
          </w:tcPr>
          <w:p w14:paraId="194242DD" w14:textId="77777777" w:rsidR="002668AB" w:rsidRPr="008863B9" w:rsidRDefault="002668AB" w:rsidP="002668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68AB" w:rsidRPr="008863B9" w:rsidRDefault="002668AB" w:rsidP="002668AB">
            <w:pPr>
              <w:pStyle w:val="CRCoverPage"/>
              <w:spacing w:after="0"/>
              <w:ind w:left="100"/>
              <w:rPr>
                <w:noProof/>
                <w:sz w:val="8"/>
                <w:szCs w:val="8"/>
              </w:rPr>
            </w:pPr>
          </w:p>
        </w:tc>
      </w:tr>
      <w:tr w:rsidR="002668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68AB" w:rsidRDefault="002668AB" w:rsidP="002668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66ED29" w:rsidR="002668AB" w:rsidRDefault="002668AB" w:rsidP="00203CA7">
            <w:pPr>
              <w:pStyle w:val="CRCoverPage"/>
              <w:spacing w:after="0"/>
              <w:rPr>
                <w:noProof/>
              </w:rPr>
            </w:pPr>
          </w:p>
        </w:tc>
      </w:tr>
    </w:tbl>
    <w:p w14:paraId="17759814" w14:textId="77777777" w:rsidR="001E41F3" w:rsidRDefault="001E41F3">
      <w:pPr>
        <w:pStyle w:val="CRCoverPage"/>
        <w:spacing w:after="0"/>
        <w:rPr>
          <w:noProof/>
          <w:sz w:val="8"/>
          <w:szCs w:val="8"/>
        </w:rPr>
      </w:pPr>
    </w:p>
    <w:p w14:paraId="58783870" w14:textId="77777777" w:rsidR="00381231" w:rsidRDefault="00381231" w:rsidP="00381231">
      <w:pPr>
        <w:jc w:val="center"/>
        <w:rPr>
          <w:rStyle w:val="normaltextrun"/>
          <w:color w:val="0070C0"/>
          <w:sz w:val="36"/>
          <w:szCs w:val="36"/>
          <w:shd w:val="clear" w:color="auto" w:fill="FFFFFF"/>
        </w:rPr>
      </w:pPr>
      <w:r>
        <w:rPr>
          <w:rStyle w:val="normaltextrun"/>
          <w:color w:val="0070C0"/>
          <w:sz w:val="36"/>
          <w:szCs w:val="36"/>
          <w:shd w:val="clear" w:color="auto" w:fill="FFFFFF"/>
        </w:rPr>
        <w:t>*** Start of Change ***</w:t>
      </w:r>
    </w:p>
    <w:p w14:paraId="5D3A146A" w14:textId="77777777" w:rsidR="001E41F3" w:rsidRDefault="001E41F3">
      <w:pPr>
        <w:rPr>
          <w:noProof/>
        </w:rPr>
      </w:pPr>
    </w:p>
    <w:p w14:paraId="727AC895" w14:textId="77777777" w:rsidR="00CC1CAC" w:rsidRPr="00C0205F" w:rsidRDefault="00CC1CAC" w:rsidP="00CC1CAC">
      <w:pPr>
        <w:pStyle w:val="Heading8"/>
      </w:pPr>
      <w:bookmarkStart w:id="3" w:name="_Toc193466710"/>
      <w:r w:rsidRPr="002F6039">
        <w:rPr>
          <w:rFonts w:eastAsia="SimSun" w:hint="eastAsia"/>
        </w:rPr>
        <w:t>A</w:t>
      </w:r>
      <w:r w:rsidRPr="002F6039">
        <w:rPr>
          <w:rFonts w:eastAsia="SimSun"/>
        </w:rPr>
        <w:t xml:space="preserve">nnex </w:t>
      </w:r>
      <w:r>
        <w:rPr>
          <w:rFonts w:eastAsia="SimSun"/>
        </w:rPr>
        <w:t>V</w:t>
      </w:r>
      <w:r w:rsidRPr="002F6039">
        <w:rPr>
          <w:rFonts w:eastAsia="SimSun"/>
        </w:rPr>
        <w:t xml:space="preserve"> (normative):</w:t>
      </w:r>
      <w:bookmarkStart w:id="4" w:name="OLE_LINK176"/>
      <w:bookmarkStart w:id="5" w:name="_Toc75277457"/>
      <w:r w:rsidRPr="00F214A7">
        <w:t xml:space="preserve"> </w:t>
      </w:r>
      <w:r w:rsidRPr="007B0C8B">
        <w:br/>
      </w:r>
      <w:r>
        <w:t>U</w:t>
      </w:r>
      <w:r w:rsidRPr="00C0205F">
        <w:t>ser consent</w:t>
      </w:r>
      <w:bookmarkEnd w:id="4"/>
      <w:r>
        <w:t xml:space="preserve"> requirements and mechanisms</w:t>
      </w:r>
      <w:bookmarkEnd w:id="3"/>
    </w:p>
    <w:p w14:paraId="6B6E0240" w14:textId="77777777" w:rsidR="00CC1CAC" w:rsidRPr="005155C0" w:rsidRDefault="00CC1CAC" w:rsidP="00CC1CAC">
      <w:pPr>
        <w:pStyle w:val="Heading1"/>
        <w:rPr>
          <w:rFonts w:eastAsia="SimSun"/>
        </w:rPr>
      </w:pPr>
      <w:bookmarkStart w:id="6" w:name="_Toc193466711"/>
      <w:r>
        <w:rPr>
          <w:rFonts w:eastAsia="SimSun"/>
        </w:rPr>
        <w:t>V</w:t>
      </w:r>
      <w:r w:rsidRPr="005155C0">
        <w:rPr>
          <w:rFonts w:eastAsia="SimSun"/>
        </w:rPr>
        <w:t>.1</w:t>
      </w:r>
      <w:r w:rsidRPr="005155C0">
        <w:rPr>
          <w:rFonts w:eastAsia="SimSun"/>
        </w:rPr>
        <w:tab/>
        <w:t>General</w:t>
      </w:r>
      <w:bookmarkEnd w:id="5"/>
      <w:bookmarkEnd w:id="6"/>
    </w:p>
    <w:p w14:paraId="7659307B" w14:textId="77777777" w:rsidR="00CC1CAC" w:rsidRDefault="00CC1CAC" w:rsidP="00CC1CAC">
      <w:pPr>
        <w:pStyle w:val="Heading2"/>
        <w:rPr>
          <w:rFonts w:eastAsia="SimSun"/>
        </w:rPr>
      </w:pPr>
      <w:bookmarkStart w:id="7" w:name="_Toc80693987"/>
      <w:bookmarkStart w:id="8" w:name="_Toc80694120"/>
      <w:bookmarkStart w:id="9" w:name="_Toc193466712"/>
      <w:r>
        <w:rPr>
          <w:rFonts w:eastAsia="SimSun"/>
        </w:rPr>
        <w:t>V.1.1</w:t>
      </w:r>
      <w:bookmarkEnd w:id="7"/>
      <w:bookmarkEnd w:id="8"/>
      <w:r>
        <w:rPr>
          <w:rFonts w:eastAsia="SimSun"/>
        </w:rPr>
        <w:tab/>
        <w:t>Scope</w:t>
      </w:r>
      <w:bookmarkEnd w:id="9"/>
    </w:p>
    <w:p w14:paraId="3AC10FC9" w14:textId="77777777" w:rsidR="00664342" w:rsidRDefault="00CC1CAC" w:rsidP="00CC1CAC">
      <w:pPr>
        <w:rPr>
          <w:ins w:id="10" w:author="Author"/>
          <w:lang w:val="en-US" w:eastAsia="zh-CN"/>
        </w:rPr>
      </w:pPr>
      <w:r>
        <w:rPr>
          <w:lang w:eastAsia="zh-CN"/>
        </w:rPr>
        <w:t>User consent can be required for</w:t>
      </w:r>
      <w:r>
        <w:rPr>
          <w:lang w:val="en-US" w:eastAsia="zh-CN"/>
        </w:rPr>
        <w:t xml:space="preserve"> 3GPP features depending on local regulations. Therefore, this annex</w:t>
      </w:r>
      <w:ins w:id="11" w:author="Author">
        <w:r w:rsidR="00664342">
          <w:rPr>
            <w:lang w:val="en-US" w:eastAsia="zh-CN"/>
          </w:rPr>
          <w:t>:</w:t>
        </w:r>
      </w:ins>
    </w:p>
    <w:p w14:paraId="1F108949" w14:textId="77777777" w:rsidR="00664342" w:rsidRDefault="00CC1CAC" w:rsidP="00664342">
      <w:pPr>
        <w:pStyle w:val="ListParagraph"/>
        <w:numPr>
          <w:ilvl w:val="0"/>
          <w:numId w:val="8"/>
        </w:numPr>
        <w:rPr>
          <w:ins w:id="12" w:author="Author"/>
          <w:lang w:val="en-US" w:eastAsia="zh-CN"/>
        </w:rPr>
      </w:pPr>
      <w:del w:id="13" w:author="Author">
        <w:r w:rsidRPr="00664342" w:rsidDel="00664342">
          <w:rPr>
            <w:lang w:val="en-US" w:eastAsia="zh-CN"/>
          </w:rPr>
          <w:delText xml:space="preserve"> d</w:delText>
        </w:r>
      </w:del>
      <w:ins w:id="14" w:author="Author">
        <w:r w:rsidR="00664342">
          <w:rPr>
            <w:lang w:val="en-US" w:eastAsia="zh-CN"/>
          </w:rPr>
          <w:t>D</w:t>
        </w:r>
      </w:ins>
      <w:r w:rsidRPr="00664342">
        <w:rPr>
          <w:lang w:val="en-US" w:eastAsia="zh-CN"/>
        </w:rPr>
        <w:t xml:space="preserve">escribes the generic security requirements and procedures to support user consent enforcement in 3GPP services. </w:t>
      </w:r>
    </w:p>
    <w:p w14:paraId="363A9C0D" w14:textId="13E12E66" w:rsidR="00664342" w:rsidRDefault="00664342" w:rsidP="000378B2">
      <w:pPr>
        <w:pStyle w:val="B1"/>
        <w:numPr>
          <w:ilvl w:val="0"/>
          <w:numId w:val="8"/>
        </w:numPr>
        <w:rPr>
          <w:ins w:id="15" w:author="Author"/>
          <w:lang w:val="en-US" w:eastAsia="zh-CN"/>
        </w:rPr>
      </w:pPr>
      <w:ins w:id="16" w:author="Author">
        <w:r>
          <w:rPr>
            <w:lang w:val="en-US" w:eastAsia="zh-CN"/>
          </w:rPr>
          <w:t xml:space="preserve">Describes subscriber-based consent given to the operator so that the 5G Core/RAN can be provisioned/configured based on the operator-subscriber agreed permissions stored in UDM/UDR to make it feasible for the operators 5G System to comply with local laws and regulations. </w:t>
        </w:r>
      </w:ins>
    </w:p>
    <w:p w14:paraId="0181653C" w14:textId="7D018BCE" w:rsidR="00664342" w:rsidRDefault="00664342" w:rsidP="000378B2">
      <w:pPr>
        <w:pStyle w:val="B1"/>
        <w:numPr>
          <w:ilvl w:val="0"/>
          <w:numId w:val="8"/>
        </w:numPr>
        <w:rPr>
          <w:ins w:id="17" w:author="Author"/>
          <w:lang w:val="en-US" w:eastAsia="zh-CN"/>
        </w:rPr>
      </w:pPr>
      <w:ins w:id="18" w:author="Author">
        <w:r>
          <w:rPr>
            <w:lang w:val="en-US" w:eastAsia="zh-CN"/>
          </w:rPr>
          <w:t xml:space="preserve">Is only intended for internal use within the </w:t>
        </w:r>
        <w:r w:rsidR="00815C5C">
          <w:rPr>
            <w:lang w:val="en-US" w:eastAsia="zh-CN"/>
          </w:rPr>
          <w:t>operator’s</w:t>
        </w:r>
        <w:r>
          <w:rPr>
            <w:lang w:val="en-US" w:eastAsia="zh-CN"/>
          </w:rPr>
          <w:t xml:space="preserve"> domain.</w:t>
        </w:r>
      </w:ins>
    </w:p>
    <w:p w14:paraId="56A5D9CA" w14:textId="730BD4DA" w:rsidR="00CC1CAC" w:rsidRPr="000378B2" w:rsidRDefault="00CC1CAC" w:rsidP="000378B2">
      <w:pPr>
        <w:rPr>
          <w:lang w:val="en-US" w:eastAsia="zh-CN"/>
        </w:rPr>
      </w:pPr>
      <w:r w:rsidRPr="000378B2">
        <w:rPr>
          <w:lang w:val="en-US" w:eastAsia="zh-CN"/>
        </w:rPr>
        <w:t xml:space="preserve">While the use cases can differ, the annex focuses on the common and generic aspects related to the storage, checking and revocation of the user consent. </w:t>
      </w:r>
    </w:p>
    <w:p w14:paraId="33A10502" w14:textId="77777777" w:rsidR="00CC1CAC" w:rsidRDefault="00CC1CAC" w:rsidP="00CC1CAC">
      <w:pPr>
        <w:rPr>
          <w:ins w:id="19" w:author="Author"/>
          <w:lang w:val="en-US" w:eastAsia="zh-CN"/>
        </w:rPr>
      </w:pPr>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p>
    <w:p w14:paraId="578700B4" w14:textId="57E98EC1" w:rsidR="00BF4B92" w:rsidRDefault="00BF4B92" w:rsidP="00CC1CAC">
      <w:pPr>
        <w:rPr>
          <w:lang w:val="en-US" w:eastAsia="zh-CN"/>
        </w:rPr>
      </w:pPr>
      <w:ins w:id="20" w:author="Author">
        <w:r w:rsidRPr="447E3A4D">
          <w:rPr>
            <w:lang w:val="en-US" w:eastAsia="zh-CN"/>
          </w:rPr>
          <w:t>User consent according to this annex is not inte</w:t>
        </w:r>
        <w:r w:rsidR="00731884">
          <w:rPr>
            <w:lang w:val="en-US" w:eastAsia="zh-CN"/>
          </w:rPr>
          <w:t>n</w:t>
        </w:r>
        <w:r w:rsidRPr="447E3A4D">
          <w:rPr>
            <w:lang w:val="en-US" w:eastAsia="zh-CN"/>
          </w:rPr>
          <w:t xml:space="preserve">ded to cater for subscriber permissions to expose personal data to systems outside </w:t>
        </w:r>
        <w:r>
          <w:rPr>
            <w:lang w:val="en-US" w:eastAsia="zh-CN"/>
          </w:rPr>
          <w:t>the 5G Core</w:t>
        </w:r>
        <w:r w:rsidRPr="447E3A4D">
          <w:rPr>
            <w:lang w:val="en-US" w:eastAsia="zh-CN"/>
          </w:rPr>
          <w:t xml:space="preserve">. </w:t>
        </w:r>
      </w:ins>
    </w:p>
    <w:p w14:paraId="4349E369" w14:textId="77777777" w:rsidR="00CC1CAC" w:rsidRPr="00771FCB" w:rsidRDefault="00CC1CAC" w:rsidP="00CC1CAC">
      <w:pPr>
        <w:rPr>
          <w:lang w:val="en-US" w:eastAsia="zh-CN"/>
        </w:rPr>
      </w:pPr>
      <w:r w:rsidRPr="003F21FB">
        <w:rPr>
          <w:lang w:val="en-US" w:eastAsia="zh-CN"/>
        </w:rPr>
        <w:t xml:space="preserve">The term </w:t>
      </w:r>
      <w:r w:rsidRPr="003F21FB">
        <w:rPr>
          <w:i/>
          <w:lang w:val="en-US" w:eastAsia="zh-CN"/>
        </w:rPr>
        <w:t>data processing</w:t>
      </w:r>
      <w:r w:rsidRPr="003F21FB">
        <w:rPr>
          <w:lang w:val="en-US" w:eastAsia="zh-CN"/>
        </w:rPr>
        <w:t xml:space="preserve"> in this annex is used to convey the same meaning as in [</w:t>
      </w:r>
      <w:r>
        <w:rPr>
          <w:lang w:val="en-US" w:eastAsia="zh-CN"/>
        </w:rPr>
        <w:t>101</w:t>
      </w:r>
      <w:r w:rsidRPr="003F21FB">
        <w:rPr>
          <w:lang w:val="en-US" w:eastAsia="zh-CN"/>
        </w:rPr>
        <w:t>]</w:t>
      </w:r>
      <w:r>
        <w:rPr>
          <w:lang w:val="en-US" w:eastAsia="zh-CN"/>
        </w:rPr>
        <w:t>.</w:t>
      </w:r>
    </w:p>
    <w:p w14:paraId="04A60A24" w14:textId="77777777" w:rsidR="00CC1CAC" w:rsidRDefault="00CC1CAC" w:rsidP="00CC1CAC">
      <w:pPr>
        <w:pStyle w:val="Heading2"/>
        <w:rPr>
          <w:rFonts w:eastAsia="SimSun"/>
          <w:lang w:eastAsia="zh-CN"/>
        </w:rPr>
      </w:pPr>
      <w:bookmarkStart w:id="21" w:name="_Toc193466713"/>
      <w:r>
        <w:rPr>
          <w:rFonts w:eastAsia="SimSun"/>
        </w:rPr>
        <w:t>V.1.2</w:t>
      </w:r>
      <w:r>
        <w:rPr>
          <w:rFonts w:eastAsia="SimSun"/>
        </w:rPr>
        <w:tab/>
        <w:t>Relationship between end-users and subscriber</w:t>
      </w:r>
      <w:bookmarkEnd w:id="21"/>
      <w:r>
        <w:rPr>
          <w:rFonts w:eastAsia="SimSun"/>
        </w:rPr>
        <w:t xml:space="preserve"> </w:t>
      </w:r>
    </w:p>
    <w:p w14:paraId="70DFB621" w14:textId="77777777" w:rsidR="00CC1CAC" w:rsidRDefault="00CC1CAC" w:rsidP="00CC1CAC">
      <w:pPr>
        <w:rPr>
          <w:lang w:val="en-US"/>
        </w:rPr>
      </w:pPr>
      <w:r>
        <w:rPr>
          <w:lang w:val="en-US" w:eastAsia="zh-CN"/>
        </w:rPr>
        <w:t xml:space="preserve">It is assumed that the user consent is obtained from the end-users. </w:t>
      </w:r>
      <w:r>
        <w:rPr>
          <w:lang w:val="en-US"/>
        </w:rPr>
        <w:t xml:space="preserve">The end-user(s) is the subscriber itself or authorize the subscriber to provide consent on behalf of the end-users. Alternatively, the end-users are authorized by the </w:t>
      </w:r>
      <w:r>
        <w:rPr>
          <w:lang w:val="en-US"/>
        </w:rPr>
        <w:lastRenderedPageBreak/>
        <w:t>subscriber to provide the consent. That means user consent is always tied to the subscription information. How authorization is provided between the subscriber and the end-users is out-of-scope of this specification.</w:t>
      </w:r>
    </w:p>
    <w:p w14:paraId="515B12E3" w14:textId="77777777" w:rsidR="00CC1CAC" w:rsidRDefault="00CC1CAC" w:rsidP="00CC1CAC">
      <w:pPr>
        <w:pStyle w:val="NO"/>
        <w:rPr>
          <w:rFonts w:eastAsia="SimSun"/>
          <w:lang w:val="en-IN"/>
        </w:rPr>
      </w:pPr>
      <w:r>
        <w:rPr>
          <w:lang w:val="en-IN"/>
        </w:rPr>
        <w:t>NOTE: The term end-user is defined in TR 21.905 [1].</w:t>
      </w:r>
    </w:p>
    <w:p w14:paraId="2DF074E5" w14:textId="77777777" w:rsidR="00CC1CAC" w:rsidRPr="0074737F" w:rsidRDefault="00CC1CAC" w:rsidP="00CC1CAC">
      <w:pPr>
        <w:pStyle w:val="Heading1"/>
        <w:rPr>
          <w:rFonts w:eastAsia="SimSun"/>
          <w:lang w:eastAsia="zh-CN"/>
        </w:rPr>
      </w:pPr>
      <w:bookmarkStart w:id="22" w:name="_Toc193466714"/>
      <w:r w:rsidRPr="00ED1F71">
        <w:rPr>
          <w:rFonts w:eastAsia="SimSun"/>
          <w:lang w:eastAsia="zh-CN"/>
        </w:rPr>
        <w:t>V.</w:t>
      </w:r>
      <w:r w:rsidRPr="00AC51F8">
        <w:rPr>
          <w:rFonts w:eastAsia="SimSun"/>
          <w:lang w:eastAsia="zh-CN"/>
        </w:rPr>
        <w:t>2</w:t>
      </w:r>
      <w:r>
        <w:rPr>
          <w:rFonts w:eastAsia="SimSun"/>
          <w:lang w:eastAsia="zh-CN"/>
        </w:rPr>
        <w:tab/>
      </w:r>
      <w:r w:rsidRPr="0074737F">
        <w:rPr>
          <w:rFonts w:eastAsia="SimSun"/>
          <w:lang w:eastAsia="zh-CN"/>
        </w:rPr>
        <w:t>R</w:t>
      </w:r>
      <w:r w:rsidRPr="0074737F">
        <w:rPr>
          <w:rFonts w:eastAsia="SimSun" w:hint="eastAsia"/>
          <w:lang w:eastAsia="zh-CN"/>
        </w:rPr>
        <w:t>e</w:t>
      </w:r>
      <w:r w:rsidRPr="0074737F">
        <w:rPr>
          <w:rFonts w:eastAsia="SimSun"/>
          <w:lang w:eastAsia="zh-CN"/>
        </w:rPr>
        <w:t>quirements</w:t>
      </w:r>
      <w:bookmarkEnd w:id="22"/>
    </w:p>
    <w:p w14:paraId="7CC13447" w14:textId="77777777" w:rsidR="00CC1CAC" w:rsidRDefault="00CC1CAC" w:rsidP="00CC1CAC">
      <w:r>
        <w:t xml:space="preserve">The UDM shall support the following services related to the user consent. </w:t>
      </w:r>
    </w:p>
    <w:p w14:paraId="1AFF85C0" w14:textId="77777777" w:rsidR="00CC1CAC" w:rsidRDefault="00CC1CAC" w:rsidP="00CC1CAC">
      <w:pPr>
        <w:pStyle w:val="B1"/>
        <w:rPr>
          <w:rFonts w:eastAsia="DengXian"/>
          <w:lang w:val="en-US"/>
        </w:rPr>
      </w:pPr>
      <w:r>
        <w:t>-</w:t>
      </w:r>
      <w:r>
        <w:tab/>
      </w:r>
      <w:r>
        <w:rPr>
          <w:rFonts w:eastAsia="DengXian"/>
          <w:lang w:val="en-US"/>
        </w:rPr>
        <w:t>Retrieval of user consent parameters.</w:t>
      </w:r>
    </w:p>
    <w:p w14:paraId="57BAD743" w14:textId="77777777" w:rsidR="00CC1CAC" w:rsidRPr="006A39E4" w:rsidRDefault="00CC1CAC" w:rsidP="00CC1CAC">
      <w:pPr>
        <w:pStyle w:val="B1"/>
        <w:rPr>
          <w:lang w:val="en-US"/>
        </w:rPr>
      </w:pPr>
      <w:r>
        <w:rPr>
          <w:lang w:val="en-US"/>
        </w:rPr>
        <w:t>-</w:t>
      </w:r>
      <w:r>
        <w:rPr>
          <w:lang w:val="en-US"/>
        </w:rPr>
        <w:tab/>
      </w:r>
      <w:r w:rsidRPr="006A39E4">
        <w:rPr>
          <w:lang w:val="en-US"/>
        </w:rPr>
        <w:t>Notification of user consent parameters change.</w:t>
      </w:r>
    </w:p>
    <w:p w14:paraId="08E8B7F7" w14:textId="485CFA06" w:rsidR="008D6F7A" w:rsidRDefault="00CC1CAC" w:rsidP="00CC1CAC">
      <w:r>
        <w:t>The user consent parameters shall be stored in the UDM/UDR as subscription data.</w:t>
      </w:r>
      <w:ins w:id="23" w:author="Author">
        <w:r w:rsidR="001E1FAD">
          <w:t xml:space="preserve"> </w:t>
        </w:r>
        <w:r w:rsidR="00DA1337">
          <w:t>C</w:t>
        </w:r>
        <w:r w:rsidR="00DA1337" w:rsidRPr="00DE5F5F">
          <w:t>onfigur</w:t>
        </w:r>
        <w:r w:rsidR="00DA1337">
          <w:t xml:space="preserve">ation of the parameters </w:t>
        </w:r>
        <w:r w:rsidR="00DA1337" w:rsidRPr="00DE5F5F">
          <w:t>in the UDM/UDR</w:t>
        </w:r>
        <w:r w:rsidR="00DA1337">
          <w:t xml:space="preserve"> can be done </w:t>
        </w:r>
        <w:r w:rsidR="00DA1337" w:rsidRPr="00DE5F5F">
          <w:t>by OAM or other proprietary means</w:t>
        </w:r>
        <w:r w:rsidR="00DA1337">
          <w:t>.</w:t>
        </w:r>
      </w:ins>
    </w:p>
    <w:p w14:paraId="15EC1F64" w14:textId="77777777" w:rsidR="00CC1CAC" w:rsidRPr="006D1920" w:rsidRDefault="00CC1CAC" w:rsidP="00CC1CAC">
      <w:r>
        <w:t xml:space="preserve">The user consent </w:t>
      </w:r>
      <w:r w:rsidRPr="006D1920">
        <w:t>parameters shall be bound to a SUPI/GPSI.</w:t>
      </w:r>
    </w:p>
    <w:p w14:paraId="1E7D0204" w14:textId="77777777" w:rsidR="00CC1CAC" w:rsidRPr="006D1920" w:rsidRDefault="00CC1CAC" w:rsidP="00CC1CAC">
      <w:r w:rsidRPr="006D1920">
        <w:t xml:space="preserve">The user consent parameters shall </w:t>
      </w:r>
      <w:r>
        <w:t>be bound to</w:t>
      </w:r>
      <w:r w:rsidRPr="006D1920">
        <w:t xml:space="preserve"> the</w:t>
      </w:r>
      <w:r>
        <w:t xml:space="preserve"> purpose of data processing.</w:t>
      </w:r>
    </w:p>
    <w:p w14:paraId="4F424B1B" w14:textId="72943506" w:rsidR="0091260A" w:rsidRPr="006A39E4" w:rsidRDefault="00CC1CAC" w:rsidP="00CC1CAC">
      <w:r w:rsidRPr="006D1920">
        <w:t xml:space="preserve">The user consent parameters shall include </w:t>
      </w:r>
      <w:r>
        <w:t>whether the user consent is granted or not.</w:t>
      </w:r>
    </w:p>
    <w:p w14:paraId="24B93E6C" w14:textId="77777777" w:rsidR="00CC1CAC" w:rsidRPr="00317043" w:rsidRDefault="00CC1CAC" w:rsidP="00CC1CAC">
      <w:r>
        <w:t xml:space="preserve">The user consent shall be effective only after the point in time that user consent was </w:t>
      </w:r>
      <w:proofErr w:type="gramStart"/>
      <w:r>
        <w:t>given.</w:t>
      </w:r>
      <w:r>
        <w:rPr>
          <w:rFonts w:eastAsia="DengXian"/>
          <w:lang w:val="en-US" w:eastAsia="zh-CN"/>
        </w:rPr>
        <w:t>The</w:t>
      </w:r>
      <w:proofErr w:type="gramEnd"/>
      <w:r>
        <w:rPr>
          <w:rFonts w:eastAsia="DengXian"/>
          <w:lang w:val="en-US" w:eastAsia="zh-CN"/>
        </w:rPr>
        <w:t xml:space="preserve"> u</w:t>
      </w:r>
      <w:r w:rsidRPr="00A92B4F">
        <w:rPr>
          <w:rFonts w:eastAsia="DengXian"/>
          <w:lang w:val="en-US" w:eastAsia="zh-CN"/>
        </w:rPr>
        <w:t xml:space="preserve">ser consent </w:t>
      </w:r>
      <w:r>
        <w:rPr>
          <w:rFonts w:eastAsia="DengXian"/>
          <w:lang w:val="en-US" w:eastAsia="zh-CN"/>
        </w:rPr>
        <w:t>shall be</w:t>
      </w:r>
      <w:r w:rsidRPr="00A92B4F">
        <w:rPr>
          <w:rFonts w:eastAsia="DengXian"/>
          <w:lang w:val="en-US" w:eastAsia="zh-CN"/>
        </w:rPr>
        <w:t xml:space="preserve"> effective until revoked</w:t>
      </w:r>
      <w:r>
        <w:rPr>
          <w:rFonts w:eastAsia="DengXian"/>
          <w:lang w:val="en-US" w:eastAsia="zh-CN"/>
        </w:rPr>
        <w:t>. It means that there is no expiry/validity timer for the user consent parameters</w:t>
      </w:r>
      <w:r w:rsidRPr="00B72DAA">
        <w:rPr>
          <w:rFonts w:eastAsia="DengXian"/>
          <w:lang w:val="en-US" w:eastAsia="zh-CN"/>
        </w:rPr>
        <w:t xml:space="preserve"> stored in the subscription data</w:t>
      </w:r>
      <w:r>
        <w:rPr>
          <w:rFonts w:eastAsia="DengXian"/>
          <w:lang w:val="en-US" w:eastAsia="zh-CN"/>
        </w:rPr>
        <w:t>.</w:t>
      </w:r>
    </w:p>
    <w:p w14:paraId="719C82C8" w14:textId="77777777" w:rsidR="00CC1CAC" w:rsidRDefault="00CC1CAC" w:rsidP="00CC1CAC">
      <w:pPr>
        <w:pStyle w:val="NO"/>
      </w:pPr>
      <w:r>
        <w:t>NOTE:</w:t>
      </w:r>
      <w:r>
        <w:tab/>
        <w:t>UDM does not provide</w:t>
      </w:r>
      <w:r w:rsidRPr="00B72DAA">
        <w:t xml:space="preserve"> user consent</w:t>
      </w:r>
      <w:r>
        <w:t xml:space="preserve"> revocation service, it only provides notification</w:t>
      </w:r>
      <w:r w:rsidRPr="00B72DAA">
        <w:t>s of user consent parameter changes</w:t>
      </w:r>
      <w:r>
        <w:rPr>
          <w:rFonts w:hint="eastAsia"/>
          <w:lang w:eastAsia="zh-CN"/>
        </w:rPr>
        <w:t>.</w:t>
      </w:r>
    </w:p>
    <w:p w14:paraId="7F400F1D" w14:textId="77777777" w:rsidR="00CC1CAC" w:rsidRDefault="00CC1CAC">
      <w:pPr>
        <w:rPr>
          <w:noProof/>
        </w:rPr>
      </w:pPr>
    </w:p>
    <w:p w14:paraId="68C9CD36" w14:textId="63812036" w:rsidR="001E41F3" w:rsidRDefault="00813A9F" w:rsidP="007C75A7">
      <w:pPr>
        <w:jc w:val="center"/>
        <w:rPr>
          <w:noProof/>
        </w:rPr>
      </w:pPr>
      <w:r w:rsidRPr="00DE5F5F">
        <w:rPr>
          <w:rFonts w:eastAsia="SimSun"/>
          <w:color w:val="0070C0"/>
          <w:sz w:val="36"/>
          <w:szCs w:val="36"/>
          <w:shd w:val="clear" w:color="auto" w:fill="FFFFFF"/>
        </w:rPr>
        <w:t>*** End of Change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uthor" w:initials="A">
    <w:p w14:paraId="493B89EE" w14:textId="77777777" w:rsidR="00D045A0" w:rsidRDefault="00D045A0" w:rsidP="00D045A0">
      <w:pPr>
        <w:pStyle w:val="CommentText"/>
      </w:pPr>
      <w:r>
        <w:rPr>
          <w:rStyle w:val="CommentReference"/>
        </w:rPr>
        <w:annotationRef/>
      </w:r>
      <w:r>
        <w:t xml:space="preserve">CRs for earlier releases (Rel-17 and Rel-18) can be provided once the current CR is agreed by SA3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3B89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3B89EE" w16cid:durableId="6D0E8D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C3DDE" w14:textId="77777777" w:rsidR="00F26EA8" w:rsidRDefault="00F26EA8">
      <w:r>
        <w:separator/>
      </w:r>
    </w:p>
  </w:endnote>
  <w:endnote w:type="continuationSeparator" w:id="0">
    <w:p w14:paraId="32257F74" w14:textId="77777777" w:rsidR="00F26EA8" w:rsidRDefault="00F26EA8">
      <w:r>
        <w:continuationSeparator/>
      </w:r>
    </w:p>
  </w:endnote>
  <w:endnote w:type="continuationNotice" w:id="1">
    <w:p w14:paraId="41C76D7C" w14:textId="77777777" w:rsidR="00F26EA8" w:rsidRDefault="00F26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A595C" w14:textId="77777777" w:rsidR="00F26EA8" w:rsidRDefault="00F26EA8">
      <w:r>
        <w:separator/>
      </w:r>
    </w:p>
  </w:footnote>
  <w:footnote w:type="continuationSeparator" w:id="0">
    <w:p w14:paraId="4FF33687" w14:textId="77777777" w:rsidR="00F26EA8" w:rsidRDefault="00F26EA8">
      <w:r>
        <w:continuationSeparator/>
      </w:r>
    </w:p>
  </w:footnote>
  <w:footnote w:type="continuationNotice" w:id="1">
    <w:p w14:paraId="7E34F750" w14:textId="77777777" w:rsidR="00F26EA8" w:rsidRDefault="00F26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00436"/>
    <w:multiLevelType w:val="hybridMultilevel"/>
    <w:tmpl w:val="7C58D9B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58A57F7E"/>
    <w:multiLevelType w:val="hybridMultilevel"/>
    <w:tmpl w:val="9250907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6505D2D"/>
    <w:multiLevelType w:val="hybridMultilevel"/>
    <w:tmpl w:val="A34AC930"/>
    <w:lvl w:ilvl="0" w:tplc="993639E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C408C8"/>
    <w:multiLevelType w:val="hybridMultilevel"/>
    <w:tmpl w:val="1E98297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495145926">
    <w:abstractNumId w:val="7"/>
  </w:num>
  <w:num w:numId="6" w16cid:durableId="1017804940">
    <w:abstractNumId w:val="5"/>
  </w:num>
  <w:num w:numId="7" w16cid:durableId="831678741">
    <w:abstractNumId w:val="4"/>
  </w:num>
  <w:num w:numId="8" w16cid:durableId="20163036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3F0"/>
    <w:rsid w:val="00037318"/>
    <w:rsid w:val="000378B2"/>
    <w:rsid w:val="000661EC"/>
    <w:rsid w:val="000678E1"/>
    <w:rsid w:val="00092130"/>
    <w:rsid w:val="000A410D"/>
    <w:rsid w:val="000A6394"/>
    <w:rsid w:val="000A684C"/>
    <w:rsid w:val="000B7FED"/>
    <w:rsid w:val="000C038A"/>
    <w:rsid w:val="000C6598"/>
    <w:rsid w:val="000D44B3"/>
    <w:rsid w:val="000E014D"/>
    <w:rsid w:val="000F1F45"/>
    <w:rsid w:val="000F5D7A"/>
    <w:rsid w:val="00120DAF"/>
    <w:rsid w:val="00145D43"/>
    <w:rsid w:val="00156BE0"/>
    <w:rsid w:val="00192C46"/>
    <w:rsid w:val="001A08B3"/>
    <w:rsid w:val="001A2927"/>
    <w:rsid w:val="001A7B60"/>
    <w:rsid w:val="001B4323"/>
    <w:rsid w:val="001B52F0"/>
    <w:rsid w:val="001B7A65"/>
    <w:rsid w:val="001E1FAD"/>
    <w:rsid w:val="001E41F3"/>
    <w:rsid w:val="001F1DD2"/>
    <w:rsid w:val="001F633A"/>
    <w:rsid w:val="00203CA7"/>
    <w:rsid w:val="0023680C"/>
    <w:rsid w:val="002427F1"/>
    <w:rsid w:val="0026004D"/>
    <w:rsid w:val="002640DD"/>
    <w:rsid w:val="002668AB"/>
    <w:rsid w:val="00267AD9"/>
    <w:rsid w:val="00275386"/>
    <w:rsid w:val="00275D12"/>
    <w:rsid w:val="00284FEB"/>
    <w:rsid w:val="002860C4"/>
    <w:rsid w:val="00294CB2"/>
    <w:rsid w:val="00294E31"/>
    <w:rsid w:val="002A4B00"/>
    <w:rsid w:val="002B5741"/>
    <w:rsid w:val="002E472E"/>
    <w:rsid w:val="002E5BB4"/>
    <w:rsid w:val="00305409"/>
    <w:rsid w:val="00315230"/>
    <w:rsid w:val="0034108E"/>
    <w:rsid w:val="00351F11"/>
    <w:rsid w:val="0035321C"/>
    <w:rsid w:val="00356492"/>
    <w:rsid w:val="003609EF"/>
    <w:rsid w:val="0036231A"/>
    <w:rsid w:val="0037190F"/>
    <w:rsid w:val="00374DD4"/>
    <w:rsid w:val="00375CC9"/>
    <w:rsid w:val="00381231"/>
    <w:rsid w:val="003A4872"/>
    <w:rsid w:val="003A7B2F"/>
    <w:rsid w:val="003C2DBE"/>
    <w:rsid w:val="003E1A36"/>
    <w:rsid w:val="00401B69"/>
    <w:rsid w:val="00410371"/>
    <w:rsid w:val="004242F1"/>
    <w:rsid w:val="00432FF2"/>
    <w:rsid w:val="00433D9D"/>
    <w:rsid w:val="0044069F"/>
    <w:rsid w:val="0044640E"/>
    <w:rsid w:val="00472A5F"/>
    <w:rsid w:val="00474375"/>
    <w:rsid w:val="00482288"/>
    <w:rsid w:val="004A52C6"/>
    <w:rsid w:val="004B75B7"/>
    <w:rsid w:val="004C4825"/>
    <w:rsid w:val="004D5235"/>
    <w:rsid w:val="004E52BE"/>
    <w:rsid w:val="004F0928"/>
    <w:rsid w:val="005009D9"/>
    <w:rsid w:val="005015F4"/>
    <w:rsid w:val="00505595"/>
    <w:rsid w:val="0051580D"/>
    <w:rsid w:val="00546764"/>
    <w:rsid w:val="00547111"/>
    <w:rsid w:val="00550765"/>
    <w:rsid w:val="005705F8"/>
    <w:rsid w:val="00592D74"/>
    <w:rsid w:val="0059707F"/>
    <w:rsid w:val="005C694F"/>
    <w:rsid w:val="005D2213"/>
    <w:rsid w:val="005E2C44"/>
    <w:rsid w:val="006134F1"/>
    <w:rsid w:val="00621188"/>
    <w:rsid w:val="006257ED"/>
    <w:rsid w:val="00632CAA"/>
    <w:rsid w:val="0065536E"/>
    <w:rsid w:val="00664342"/>
    <w:rsid w:val="00665C47"/>
    <w:rsid w:val="00695808"/>
    <w:rsid w:val="006958F6"/>
    <w:rsid w:val="00695A6C"/>
    <w:rsid w:val="006975BA"/>
    <w:rsid w:val="006B46FB"/>
    <w:rsid w:val="006E21FB"/>
    <w:rsid w:val="0071458F"/>
    <w:rsid w:val="00731884"/>
    <w:rsid w:val="00737CB6"/>
    <w:rsid w:val="007426CE"/>
    <w:rsid w:val="0076220D"/>
    <w:rsid w:val="007657D5"/>
    <w:rsid w:val="0078484F"/>
    <w:rsid w:val="00785599"/>
    <w:rsid w:val="00792342"/>
    <w:rsid w:val="007977A8"/>
    <w:rsid w:val="007A5E9A"/>
    <w:rsid w:val="007B512A"/>
    <w:rsid w:val="007C2097"/>
    <w:rsid w:val="007C75A7"/>
    <w:rsid w:val="007D67DB"/>
    <w:rsid w:val="007D6A07"/>
    <w:rsid w:val="007F7259"/>
    <w:rsid w:val="008040A8"/>
    <w:rsid w:val="00813A9F"/>
    <w:rsid w:val="00815C5C"/>
    <w:rsid w:val="00824984"/>
    <w:rsid w:val="008279FA"/>
    <w:rsid w:val="00853394"/>
    <w:rsid w:val="00853F77"/>
    <w:rsid w:val="008626E7"/>
    <w:rsid w:val="00870EE7"/>
    <w:rsid w:val="00880A55"/>
    <w:rsid w:val="0088339D"/>
    <w:rsid w:val="008863B9"/>
    <w:rsid w:val="0088765D"/>
    <w:rsid w:val="00887DA0"/>
    <w:rsid w:val="008A3FA2"/>
    <w:rsid w:val="008A45A6"/>
    <w:rsid w:val="008B6911"/>
    <w:rsid w:val="008B6DD1"/>
    <w:rsid w:val="008B7764"/>
    <w:rsid w:val="008C3836"/>
    <w:rsid w:val="008D39FE"/>
    <w:rsid w:val="008D4D29"/>
    <w:rsid w:val="008D6F7A"/>
    <w:rsid w:val="008E5D47"/>
    <w:rsid w:val="008F3789"/>
    <w:rsid w:val="008F686C"/>
    <w:rsid w:val="0091260A"/>
    <w:rsid w:val="00912E26"/>
    <w:rsid w:val="009148DE"/>
    <w:rsid w:val="00921737"/>
    <w:rsid w:val="00941E30"/>
    <w:rsid w:val="009572AC"/>
    <w:rsid w:val="009643D1"/>
    <w:rsid w:val="009777D9"/>
    <w:rsid w:val="00986E5D"/>
    <w:rsid w:val="00991B88"/>
    <w:rsid w:val="009A5753"/>
    <w:rsid w:val="009A579D"/>
    <w:rsid w:val="009E3297"/>
    <w:rsid w:val="009E43A6"/>
    <w:rsid w:val="009F22F2"/>
    <w:rsid w:val="009F734F"/>
    <w:rsid w:val="00A01B0F"/>
    <w:rsid w:val="00A1069F"/>
    <w:rsid w:val="00A11F8F"/>
    <w:rsid w:val="00A246B6"/>
    <w:rsid w:val="00A339DC"/>
    <w:rsid w:val="00A44092"/>
    <w:rsid w:val="00A45A29"/>
    <w:rsid w:val="00A47E70"/>
    <w:rsid w:val="00A50CF0"/>
    <w:rsid w:val="00A7671C"/>
    <w:rsid w:val="00A8274B"/>
    <w:rsid w:val="00A91ABB"/>
    <w:rsid w:val="00A91E2A"/>
    <w:rsid w:val="00A942BE"/>
    <w:rsid w:val="00AA28C3"/>
    <w:rsid w:val="00AA2CBC"/>
    <w:rsid w:val="00AA603B"/>
    <w:rsid w:val="00AC5820"/>
    <w:rsid w:val="00AC764B"/>
    <w:rsid w:val="00AD1CD8"/>
    <w:rsid w:val="00AF0F32"/>
    <w:rsid w:val="00B02EFE"/>
    <w:rsid w:val="00B03021"/>
    <w:rsid w:val="00B13F88"/>
    <w:rsid w:val="00B258BB"/>
    <w:rsid w:val="00B32687"/>
    <w:rsid w:val="00B40EDC"/>
    <w:rsid w:val="00B5466A"/>
    <w:rsid w:val="00B65FB3"/>
    <w:rsid w:val="00B67B97"/>
    <w:rsid w:val="00B72EFF"/>
    <w:rsid w:val="00B8115A"/>
    <w:rsid w:val="00B968C8"/>
    <w:rsid w:val="00BA3EC5"/>
    <w:rsid w:val="00BA51D9"/>
    <w:rsid w:val="00BB5DFC"/>
    <w:rsid w:val="00BD279D"/>
    <w:rsid w:val="00BD52AE"/>
    <w:rsid w:val="00BD6BB8"/>
    <w:rsid w:val="00BF4B92"/>
    <w:rsid w:val="00BF54CC"/>
    <w:rsid w:val="00C12D8A"/>
    <w:rsid w:val="00C26B79"/>
    <w:rsid w:val="00C66BA2"/>
    <w:rsid w:val="00C76FA6"/>
    <w:rsid w:val="00C95985"/>
    <w:rsid w:val="00CA514A"/>
    <w:rsid w:val="00CC182B"/>
    <w:rsid w:val="00CC1CAC"/>
    <w:rsid w:val="00CC5026"/>
    <w:rsid w:val="00CC68D0"/>
    <w:rsid w:val="00CE7DF1"/>
    <w:rsid w:val="00CF5C18"/>
    <w:rsid w:val="00D0159C"/>
    <w:rsid w:val="00D02856"/>
    <w:rsid w:val="00D03F9A"/>
    <w:rsid w:val="00D045A0"/>
    <w:rsid w:val="00D06D51"/>
    <w:rsid w:val="00D07B95"/>
    <w:rsid w:val="00D21F0D"/>
    <w:rsid w:val="00D24991"/>
    <w:rsid w:val="00D50255"/>
    <w:rsid w:val="00D55BE4"/>
    <w:rsid w:val="00D57503"/>
    <w:rsid w:val="00D66520"/>
    <w:rsid w:val="00D91982"/>
    <w:rsid w:val="00D9340F"/>
    <w:rsid w:val="00D94140"/>
    <w:rsid w:val="00DA1337"/>
    <w:rsid w:val="00DD3DC0"/>
    <w:rsid w:val="00DE34CF"/>
    <w:rsid w:val="00DE74DC"/>
    <w:rsid w:val="00DE7FCB"/>
    <w:rsid w:val="00E00D5F"/>
    <w:rsid w:val="00E13F3D"/>
    <w:rsid w:val="00E17DB0"/>
    <w:rsid w:val="00E339EB"/>
    <w:rsid w:val="00E34898"/>
    <w:rsid w:val="00E45671"/>
    <w:rsid w:val="00E55C56"/>
    <w:rsid w:val="00EA7DE0"/>
    <w:rsid w:val="00EB09B7"/>
    <w:rsid w:val="00EC1BD5"/>
    <w:rsid w:val="00EE18E7"/>
    <w:rsid w:val="00EE6E2B"/>
    <w:rsid w:val="00EE7D7C"/>
    <w:rsid w:val="00EF773C"/>
    <w:rsid w:val="00F14D15"/>
    <w:rsid w:val="00F17DFF"/>
    <w:rsid w:val="00F2296B"/>
    <w:rsid w:val="00F22C9E"/>
    <w:rsid w:val="00F25D98"/>
    <w:rsid w:val="00F26EA8"/>
    <w:rsid w:val="00F300FB"/>
    <w:rsid w:val="00F428DB"/>
    <w:rsid w:val="00F552AE"/>
    <w:rsid w:val="00F85D65"/>
    <w:rsid w:val="00F93ED5"/>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62FE36-0CAC-47FB-AB9D-BD3C051ED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
    <w:name w:val="normaltextrun"/>
    <w:basedOn w:val="DefaultParagraphFont"/>
    <w:rsid w:val="00381231"/>
  </w:style>
  <w:style w:type="character" w:customStyle="1" w:styleId="NOChar">
    <w:name w:val="NO Char"/>
    <w:link w:val="NO"/>
    <w:qFormat/>
    <w:rsid w:val="00CC1CAC"/>
    <w:rPr>
      <w:rFonts w:ascii="Times New Roman" w:hAnsi="Times New Roman"/>
      <w:lang w:val="en-GB" w:eastAsia="en-US"/>
    </w:rPr>
  </w:style>
  <w:style w:type="character" w:customStyle="1" w:styleId="B1Char1">
    <w:name w:val="B1 Char1"/>
    <w:link w:val="B1"/>
    <w:qFormat/>
    <w:locked/>
    <w:rsid w:val="00CC1CAC"/>
    <w:rPr>
      <w:rFonts w:ascii="Times New Roman" w:hAnsi="Times New Roman"/>
      <w:lang w:val="en-GB" w:eastAsia="en-US"/>
    </w:rPr>
  </w:style>
  <w:style w:type="paragraph" w:styleId="Revision">
    <w:name w:val="Revision"/>
    <w:hidden/>
    <w:uiPriority w:val="99"/>
    <w:semiHidden/>
    <w:rsid w:val="008249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267373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https://ericsson.sharepoint.com/sites/SRT/3GPP/_layouts/15/DocIdRedir.aspx?ID=ADQ376F6HWTR-1074192144-9383</Url>
      <Description>ADQ376F6HWTR-1074192144-9383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4E5E9-F878-4C61-8F3E-419C0965B87B}">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EFA1BEEB-3A0F-4B72-8E3E-9A8837046108}">
  <ds:schemaRefs>
    <ds:schemaRef ds:uri="http://schemas.microsoft.com/sharepoint/events"/>
  </ds:schemaRefs>
</ds:datastoreItem>
</file>

<file path=customXml/itemProps4.xml><?xml version="1.0" encoding="utf-8"?>
<ds:datastoreItem xmlns:ds="http://schemas.openxmlformats.org/officeDocument/2006/customXml" ds:itemID="{9347732E-4DB7-4F1D-B735-F19CFD4C34AB}">
  <ds:schemaRefs>
    <ds:schemaRef ds:uri="http://schemas.microsoft.com/sharepoint/v3/contenttype/forms"/>
  </ds:schemaRefs>
</ds:datastoreItem>
</file>

<file path=customXml/itemProps5.xml><?xml version="1.0" encoding="utf-8"?>
<ds:datastoreItem xmlns:ds="http://schemas.openxmlformats.org/officeDocument/2006/customXml" ds:itemID="{D94FA0A8-E816-465C-A93F-0D15E95FCD2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BB44CE45-637A-40E1-9BD1-516135BFA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1048</Words>
  <Characters>5978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65</cp:revision>
  <cp:lastPrinted>1899-12-31T23:00:00Z</cp:lastPrinted>
  <dcterms:created xsi:type="dcterms:W3CDTF">2020-02-03T08:32:00Z</dcterms:created>
  <dcterms:modified xsi:type="dcterms:W3CDTF">2025-05-12T13:19:00Z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d2f8c88c-4e1f-4fc9-b638-6837409be600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